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before="0" w:after="0"/>
      </w:pPr>
      <w:r>
        <w:pict>
          <v:shape style="position:absolute;left:174.97pt;top:212.86pt;width:122.19pt;height:18.6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1.11 Kontaktinis suvirinimas</w:t>
                  </w:r>
                </w:p>
              </w:txbxContent>
            </v:textbox>
            <w10:wrap type="none" anchorx="page" anchory="page"/>
          </v:shape>
        </w:pict>
      </w:r>
    </w:p>
    <w:p>
      <w:pPr>
        <w:spacing w:before="0" w:after="0"/>
      </w:pPr>
      <w:r>
        <w:pict>
          <v:shape style="position:absolute;left:293.85pt;top:363.92pt;width:93.46pt;height:26.5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Paruošė: I. Gedzevičius</w:t>
                  </w:r>
                </w:p>
              </w:txbxContent>
            </v:textbox>
            <w10:wrap type="none" anchorx="page" anchory="page"/>
          </v:shape>
        </w:pict>
      </w:r>
    </w:p>
    <w:p>
      <w:pPr>
        <w:spacing w:before="0" w:after="0"/>
      </w:pPr>
      <w:r>
        <w:pict>
          <v:shape style="position:absolute;left:206.35pt;top:481.48pt;width:45.79pt;height:19.1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Vilnius</w:t>
                  </w:r>
                </w:p>
              </w:txbxContent>
            </v:textbox>
            <w10:wrap type="none" anchorx="page" anchory="page"/>
          </v:shape>
        </w:pict>
      </w:r>
    </w:p>
    <w:p>
      <w:pPr>
        <w:spacing w:before="0" w:after="0"/>
      </w:pPr>
      <w:r>
        <w:pict>
          <v:shape style="position:absolute;left:476.46pt;top:109.95pt;width:288.71pt;height:62.5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Turinys</w:t>
                    <w:br/>
                  </w:r>
                  <w:r>
                    <w:rPr>
                      <w:rFonts w:ascii="Sans Serif" w:hAnsi="Sans Serif" w:eastAsia="Sans Serif"/>
                      <w:sz val="8"/>
                    </w:rPr>
                    <w:t> </w:t>
                    <w:br/>
                  </w:r>
                  <w:r>
                    <w:rPr>
                      <w:rFonts w:ascii="Sans Serif" w:hAnsi="Sans Serif" w:eastAsia="Sans Serif"/>
                      <w:sz val="8"/>
                    </w:rPr>
                    <w:t>1. Kontaktinio taškinio suvirinimo pagrindai ....................................................................3</w:t>
                    <w:br/>
                  </w:r>
                  <w:r>
                    <w:rPr>
                      <w:rFonts w:ascii="Sans Serif" w:hAnsi="Sans Serif" w:eastAsia="Sans Serif"/>
                      <w:sz val="8"/>
                    </w:rPr>
                    <w:t>2. Kontaktinis sandūrinis suvirinimas ........................................................................ 6</w:t>
                    <w:br/>
                  </w:r>
                  <w:r>
                    <w:rPr>
                      <w:rFonts w:ascii="Sans Serif" w:hAnsi="Sans Serif" w:eastAsia="Sans Serif"/>
                      <w:sz val="8"/>
                    </w:rPr>
                    <w:t>3. Grafiniai kontaktinio suvirinimo įrenginių simboliai ....................................................... 8</w:t>
                  </w:r>
                </w:p>
              </w:txbxContent>
            </v:textbox>
            <w10:wrap type="none" anchorx="page" anchory="page"/>
          </v:shape>
        </w:pict>
      </w:r>
    </w:p>
    <w:p>
      <w:pPr>
        <w:sectPr>
          <w:pgSz w:w="16834" w:h="11902"/>
          <w:pgMar w:top="0" w:right="0" w:bottom="0" w:left="0" w:header="0" w:footer="0" w:gutter="0"/>
          <w:cols w:space="720"/>
          <w:docGrid w:linePitch="360"/>
        </w:sectPr>
      </w:pPr>
    </w:p>
    <w:p/>
    <w:p>
      <w:pPr>
        <w:spacing w:before="0" w:after="0"/>
      </w:pPr>
      <w:r>
        <w:pict>
          <v:shape style="position:absolute;left:80.78pt;top:96.48pt;width:293.32pt;height:78.0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Kontaktinio taškinio suvirinimo pagrindai</w:t>
                    <w:br/>
                  </w:r>
                  <w:r>
                    <w:rPr>
                      <w:rFonts w:ascii="Sans Serif" w:hAnsi="Sans Serif" w:eastAsia="Sans Serif"/>
                      <w:sz val="8"/>
                    </w:rPr>
                    <w:t> </w:t>
                    <w:br/>
                  </w:r>
                  <w:r>
                    <w:rPr>
                      <w:rFonts w:ascii="Sans Serif" w:hAnsi="Sans Serif" w:eastAsia="Sans Serif"/>
                      <w:sz val="8"/>
                    </w:rPr>
                    <w:t>Kontaktinis taškinis suvirinimas naudojamas lakštiniams gaminiams suvirinti, ten kur nereikia hermetiškumo ir didelio mechaninio atsparumo. Suvirinimo procesas pagristas tuo, kad tarp elektrodų suspaustų gaminių pratekanti aukšta srovė (nuo 5000A iki 20000 A) įkaitina suvirinimo zonoje detales ir jas išlydo. Tarp sujungiamų detalių susidaro bendra skysto metalo vonelė. Nutraukus srovės tiekimą ir suvirinimo zonai atauušus susiformuoja suvirintas sujungimas.</w:t>
                    <w:br/>
                  </w:r>
                  <w:r>
                    <w:rPr>
                      <w:rFonts w:ascii="Sans Serif" w:hAnsi="Sans Serif" w:eastAsia="Sans Serif"/>
                      <w:sz val="8"/>
                    </w:rPr>
                    <w:t>Šilumos kiekis Q, išsiskiriantis tarp elektrodų, kurie suspaudžia gaminį, nusako Džiaulio - Lenco dėsnis:</w:t>
                  </w:r>
                </w:p>
              </w:txbxContent>
            </v:textbox>
            <w10:wrap type="none" anchorx="page" anchory="page"/>
          </v:shape>
        </w:pict>
      </w:r>
    </w:p>
    <w:p>
      <w:pPr>
        <w:spacing w:before="0" w:after="0"/>
      </w:pPr>
      <w:r>
        <w:pict>
          <v:shape style="position:absolute;left:101.58pt;top:198.99pt;width:105.47pt;height:26.5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čia: I - srovės stipris, A;</w:t>
                    <w:br/>
                  </w:r>
                  <w:r>
                    <w:rPr>
                      <w:rFonts w:ascii="Sans Serif" w:hAnsi="Sans Serif" w:eastAsia="Sans Serif"/>
                      <w:sz val="8"/>
                    </w:rPr>
                    <w:t>Rₑₑ - varža tarp elektrodų, Ω;</w:t>
                    <w:br/>
                  </w:r>
                  <w:r>
                    <w:rPr>
                      <w:rFonts w:ascii="Sans Serif" w:hAnsi="Sans Serif" w:eastAsia="Sans Serif"/>
                      <w:sz val="8"/>
                    </w:rPr>
                    <w:t>t - suvirinimo laikas, s.</w:t>
                  </w:r>
                </w:p>
              </w:txbxContent>
            </v:textbox>
            <w10:wrap type="none" anchorx="page" anchory="page"/>
          </v:shape>
        </w:pict>
      </w:r>
    </w:p>
    <w:p>
      <w:pPr>
        <w:spacing w:before="0" w:after="0"/>
      </w:pPr>
      <w:r>
        <w:pict>
          <v:shape style="position:absolute;left:82.73pt;top:232.07pt;width:289.31pt;height:21.2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Varža tarp elektrodų susideda iš šių varžų: tai kontaktų varža, viršutinis elektrodas detalė – $R_{ed1}$, detalė – detalė $R_{dd}$, apatinis elektrodas – detalė $R_{ed2}$ ir pačių detalių varžų $R_{d1}$ ir $R_{d2}$. Taigi $R_{ee}$ bus lygi:</w:t>
                  </w:r>
                </w:p>
              </w:txbxContent>
            </v:textbox>
            <w10:wrap type="none" anchorx="page" anchory="page"/>
          </v:shape>
        </w:pict>
      </w:r>
    </w:p>
    <w:p>
      <w:pPr>
        <w:spacing w:before="0" w:after="0"/>
      </w:pPr>
      <w:r>
        <w:pict>
          <v:shape style="position:absolute;left:78.77pt;top:270.46pt;width:295.88pt;height:30.1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Jei suvirinama vienodo storio ir cheminės sudėties detalės tai $R_{d1} = R_{d2}$. Jeigu viršutinio ir</w:t>
                    <w:br/>
                  </w:r>
                  <w:r>
                    <w:rPr>
                      <w:rFonts w:ascii="Sans Serif" w:hAnsi="Sans Serif" w:eastAsia="Sans Serif"/>
                      <w:sz val="8"/>
                    </w:rPr>
                    <w:t>apatinio elektrodų su detalėmis kontaktų plotas vienodas, o detalių paviršiai irgi vienodai švarūs tai</w:t>
                    <w:br/>
                  </w:r>
                  <w:r>
                    <w:rPr>
                      <w:rFonts w:ascii="Sans Serif" w:hAnsi="Sans Serif" w:eastAsia="Sans Serif"/>
                      <w:sz val="8"/>
                    </w:rPr>
                    <w:t>$R_{ed1} = R_{ed2}$.</w:t>
                  </w:r>
                </w:p>
              </w:txbxContent>
            </v:textbox>
            <w10:wrap type="none" anchorx="page" anchory="page"/>
          </v:shape>
        </w:pict>
      </w:r>
    </w:p>
    <w:p>
      <w:pPr>
        <w:spacing w:before="0" w:after="0"/>
      </w:pPr>
      <w:r>
        <w:pict>
          <v:shape style="position:absolute;left:80.77pt;top:442.80pt;width:291.29pt;height:78.2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Kintant temperatūrai kinta $R_{ee}$ ir $I_{suv}$.</w:t>
                    <w:br/>
                  </w:r>
                  <w:r>
                    <w:rPr>
                      <w:rFonts w:ascii="Sans Serif" w:hAnsi="Sans Serif" w:eastAsia="Sans Serif"/>
                      <w:sz val="8"/>
                    </w:rPr>
                    <w:t>Detalės varžą lemia metalų fizikinės savybės ir ji be to priklauso nuo detalės temperatūros (kylant temperatūrai, jų varža didėja). Kontaktų varžos, apart fizikinių detalių savybių, daugiausia priklauso nuo jų švarumo. Nuvalytų metalų kontaktų varža gali būti šimtus kartų mažesnė už nenuvalytų. Taigi norint kokybiškai suvirinti, nuo detalių prieš suvirinimą reikia kruopščiai nuvalyti rūdis, purvą, oksidus, tepalus. Rūdys, purvas, oksidų plėvelės nuvalomos mechaniškai, o riebalinės plėvelės nuplaunamos acetonu, benzinu ar kitais tirpikliais. Apdegę variniai elektrodai irgi gali turėti nemažą aktyvinę varžą, todėl juos taipogi reikia reguliariai valyti. Jeigu suvirinant lydimu lankas neblogai dega ir ant nešvarių detalių (nes čia tuščios eigos įtampa siekia 70-100 V) ir ji lengvai pramuša plonus</w:t>
                  </w:r>
                </w:p>
              </w:txbxContent>
            </v:textbox>
            <w10:wrap type="none" anchorx="page" anchory="page"/>
          </v:shape>
        </w:pict>
      </w:r>
    </w:p>
    <w:p>
      <w:pPr>
        <w:spacing w:before="0" w:after="0"/>
      </w:pPr>
      <w:r>
        <w:pict>
          <v:shape style="position:absolute;left:139.00pt;top:427.06pt;width:188.63pt;height:12.1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pav. Varžų pasiskirstymas kontaktinio taškinio suvirinimo metu</w:t>
                  </w:r>
                </w:p>
              </w:txbxContent>
            </v:textbox>
            <w10:wrap type="none" anchorx="page" anchory="page"/>
          </v:shape>
        </w:pict>
      </w:r>
    </w:p>
    <w:p>
      <w:pPr>
        <w:spacing w:before="0" w:after="0"/>
      </w:pPr>
      <w:r>
        <w:pict>
          <v:shape style="position:absolute;left:473.44pt;top:91.40pt;width:295.95pt;height:84.5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nešvarumų sluoksnelius, tai suvirinant kontaktiniu būdu, net ir ploniausių nešvarumų plėvelių 2-4 V</w:t>
                    <w:br/>
                  </w:r>
                  <w:r>
                    <w:rPr>
                      <w:rFonts w:ascii="Sans Serif" w:hAnsi="Sans Serif" w:eastAsia="Sans Serif"/>
                      <w:sz val="8"/>
                    </w:rPr>
                    <w:t>įtampa nepajėgia pramušti ir suvirinimo procesas išviso nevyksta.</w:t>
                    <w:br/>
                  </w:r>
                  <w:r>
                    <w:rPr>
                      <w:rFonts w:ascii="Sans Serif" w:hAnsi="Sans Serif" w:eastAsia="Sans Serif"/>
                      <w:sz val="8"/>
                    </w:rPr>
                    <w:t>Suvirinimo režimai gamyboje paprastai parenkami pagal literatūroje arba mašinos instrukcijoje</w:t>
                    <w:br/>
                  </w:r>
                  <w:r>
                    <w:rPr>
                      <w:rFonts w:ascii="Sans Serif" w:hAnsi="Sans Serif" w:eastAsia="Sans Serif"/>
                      <w:sz val="8"/>
                    </w:rPr>
                    <w:t>duotas lenteles.</w:t>
                    <w:br/>
                  </w:r>
                  <w:r>
                    <w:rPr>
                      <w:rFonts w:ascii="Sans Serif" w:hAnsi="Sans Serif" w:eastAsia="Sans Serif"/>
                      <w:sz val="8"/>
                    </w:rPr>
                    <w:t>Taškinio suvirinimo procesas susideda iš šių operacijų (2 pav.): 1 – detalių pastatymas, 2 –</w:t>
                    <w:br/>
                  </w:r>
                  <w:r>
                    <w:rPr>
                      <w:rFonts w:ascii="Sans Serif" w:hAnsi="Sans Serif" w:eastAsia="Sans Serif"/>
                      <w:sz val="8"/>
                    </w:rPr>
                    <w:t>detalių suspaudimas, 3 – srovės impulso padavimas esant suspaustoms detalėms, 4 – srovės impulso</w:t>
                    <w:br/>
                  </w:r>
                  <w:r>
                    <w:rPr>
                      <w:rFonts w:ascii="Sans Serif" w:hAnsi="Sans Serif" w:eastAsia="Sans Serif"/>
                      <w:sz val="8"/>
                    </w:rPr>
                    <w:t>išjungimas ir taško ataušimas esant suspaustoms detalėms (gali būti papildomai įjungiama srovė</w:t>
                    <w:br/>
                  </w:r>
                  <w:r>
                    <w:rPr>
                      <w:rFonts w:ascii="Sans Serif" w:hAnsi="Sans Serif" w:eastAsia="Sans Serif"/>
                      <w:sz val="8"/>
                    </w:rPr>
                    <w:t>siekiant kontroliuoti aušimo greitį - 6.2 pav. punktyrinė linija), 5 – detalių išlaisvinimas. Taigi, visas</w:t>
                    <w:br/>
                  </w:r>
                  <w:r>
                    <w:rPr>
                      <w:rFonts w:ascii="Sans Serif" w:hAnsi="Sans Serif" w:eastAsia="Sans Serif"/>
                      <w:sz val="8"/>
                    </w:rPr>
                    <w:t>suvirinimo ciklas $t_c$ susideda iš suspaudimo laiko $t_{susp}$, srovės impulso laiko $t_{suv}$, suvirinto taško</w:t>
                    <w:br/>
                  </w:r>
                  <w:r>
                    <w:rPr>
                      <w:rFonts w:ascii="Sans Serif" w:hAnsi="Sans Serif" w:eastAsia="Sans Serif"/>
                      <w:sz val="8"/>
                    </w:rPr>
                    <w:t>ataušimo laiko $t_{atš}$ ir detalės išlaisvinimo laiko $t_{išl}$.</w:t>
                  </w:r>
                </w:p>
              </w:txbxContent>
            </v:textbox>
            <w10:wrap type="none" anchorx="page" anchory="page"/>
          </v:shape>
        </w:pict>
      </w:r>
    </w:p>
    <w:p>
      <w:pPr>
        <w:spacing w:before="0" w:after="0"/>
      </w:pPr>
      <w:r>
        <w:pict>
          <v:shape style="position:absolute;left:469.93pt;top:371.61pt;width:298.85pt;height:43.4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Parenkant su virinimo režimus, nustatomas suvirinimo srovės dydis bei jos tankis, srovės impulso</w:t>
                    <w:br/>
                  </w:r>
                  <w:r>
                    <w:rPr>
                      <w:rFonts w:ascii="Sans Serif" w:hAnsi="Sans Serif" w:eastAsia="Sans Serif"/>
                      <w:sz val="8"/>
                    </w:rPr>
                    <w:t>trukmė tₛᵤᵥ, suslėgimo jėga P, elektrodų darbinio paviršiaus forma ir skersmuo.</w:t>
                    <w:br/>
                  </w:r>
                  <w:r>
                    <w:rPr>
                      <w:rFonts w:ascii="Sans Serif" w:hAnsi="Sans Serif" w:eastAsia="Sans Serif"/>
                      <w:sz val="8"/>
                    </w:rPr>
                    <w:t>Suvirinimo srovės stipris daugiausia priklauso nuo suvirinamų metalų storio. Taipogi priklauso</w:t>
                    <w:br/>
                  </w:r>
                  <w:r>
                    <w:rPr>
                      <w:rFonts w:ascii="Sans Serif" w:hAnsi="Sans Serif" w:eastAsia="Sans Serif"/>
                      <w:sz val="8"/>
                    </w:rPr>
                    <w:t>nuo jų fizikinių-cheminių savybių. 1-3 mm storio mažaangliams plienams orientacinė suvirinimo</w:t>
                    <w:br/>
                  </w:r>
                  <w:r>
                    <w:rPr>
                      <w:rFonts w:ascii="Sans Serif" w:hAnsi="Sans Serif" w:eastAsia="Sans Serif"/>
                      <w:sz val="8"/>
                    </w:rPr>
                    <w:t>srovė lygi:</w:t>
                  </w:r>
                </w:p>
              </w:txbxContent>
            </v:textbox>
            <w10:wrap type="none" anchorx="page" anchory="page"/>
          </v:shape>
        </w:pict>
      </w:r>
    </w:p>
    <w:p>
      <w:pPr>
        <w:spacing w:before="0" w:after="0"/>
      </w:pPr>
      <w:r>
        <w:pict>
          <v:shape style="position:absolute;left:566.23pt;top:357.05pt;width:116.43pt;height:12.4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pav. Kontaktinio taškinio suvirinimo eiga</w:t>
                  </w:r>
                </w:p>
              </w:txbxContent>
            </v:textbox>
            <w10:wrap type="none" anchorx="page" anchory="page"/>
          </v:shape>
        </w:pict>
      </w:r>
    </w:p>
    <w:p>
      <w:pPr>
        <w:spacing w:before="0" w:after="0"/>
      </w:pPr>
      <w:r>
        <w:pict>
          <v:shape style="position:absolute;left:485.91pt;top:451.18pt;width:75.41pt;height:13.2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čia: δ - metalo storis, mm.</w:t>
                  </w:r>
                </w:p>
              </w:txbxContent>
            </v:textbox>
            <w10:wrap type="none" anchorx="page" anchory="page"/>
          </v:shape>
        </w:pict>
      </w:r>
    </w:p>
    <w:p>
      <w:pPr>
        <w:spacing w:before="0" w:after="0"/>
      </w:pPr>
      <w:r>
        <w:pict>
          <v:shape style="position:absolute;left:471.66pt;top:476.52pt;width:288.58pt;height:34.0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Suvirinant mažaanglius plienus kietais režimais kontakte elektrodas-detalė srovės tankis 160-400</w:t>
                    <w:br/>
                  </w:r>
                  <w:r>
                    <w:rPr>
                      <w:rFonts w:ascii="Sans Serif" w:hAnsi="Sans Serif" w:eastAsia="Sans Serif"/>
                      <w:sz val="8"/>
                    </w:rPr>
                    <w:t>A/mm², minkštais – 80-160 A/mm². Srovės impulso trukmė tₛᵤᵥ = (0,2 ÷ 0,4)δ, lyginamasis slėgis</w:t>
                    <w:br/>
                  </w:r>
                  <w:r>
                    <w:rPr>
                      <w:rFonts w:ascii="Sans Serif" w:hAnsi="Sans Serif" w:eastAsia="Sans Serif"/>
                      <w:sz val="8"/>
                    </w:rPr>
                    <w:t>kontakte elektrodas – detalė 50 ÷ 120 MPa, elektrodo skersmenį dₑₗ apytiksliai galima apskaičiuoti</w:t>
                    <w:br/>
                  </w:r>
                  <w:r>
                    <w:rPr>
                      <w:rFonts w:ascii="Sans Serif" w:hAnsi="Sans Serif" w:eastAsia="Sans Serif"/>
                      <w:sz val="8"/>
                    </w:rPr>
                    <w:t>pagal formulę:</w:t>
                  </w:r>
                </w:p>
              </w:txbxContent>
            </v:textbox>
            <w10:wrap type="none" anchorx="page" anchory="page"/>
          </v:shape>
        </w:pict>
      </w:r>
    </w:p>
    <w:p>
      <w:pPr>
        <w:sectPr>
          <w:pgSz w:w="16834" w:h="11902"/>
          <w:pgMar w:top="0" w:right="0" w:bottom="0" w:left="0" w:header="0" w:footer="0" w:gutter="0"/>
          <w:cols w:space="720"/>
          <w:docGrid w:linePitch="360"/>
        </w:sectPr>
      </w:pPr>
    </w:p>
    <w:p/>
    <w:p>
      <w:pPr>
        <w:spacing w:before="0" w:after="0"/>
      </w:pPr>
      <w:r>
        <w:pict>
          <v:shape style="position:absolute;left:78.55pt;top:115.09pt;width:296.12pt;height:50.9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Sferinio paviršiaus spindulys r $\approx$ 50$\cdot\delta$; mm.</w:t>
                    <w:br/>
                  </w:r>
                  <w:r>
                    <w:rPr>
                      <w:rFonts w:ascii="Sans Serif" w:hAnsi="Sans Serif" w:eastAsia="Sans Serif"/>
                      <w:sz val="8"/>
                    </w:rPr>
                    <w:t>Ruošiant elektrodus suvirinimui, jie nuvalomi, patikrinamas skersmuo ir darbinio paviršiaus</w:t>
                    <w:br/>
                  </w:r>
                  <w:r>
                    <w:rPr>
                      <w:rFonts w:ascii="Sans Serif" w:hAnsi="Sans Serif" w:eastAsia="Sans Serif"/>
                      <w:sz val="8"/>
                    </w:rPr>
                    <w:t>sferos spindulys.</w:t>
                    <w:br/>
                  </w:r>
                  <w:r>
                    <w:rPr>
                      <w:rFonts w:ascii="Sans Serif" w:hAnsi="Sans Serif" w:eastAsia="Sans Serif"/>
                      <w:sz val="8"/>
                    </w:rPr>
                    <w:t>Kontaktinis siūlinis suvirinimas panašus į kontaktinį taškinį. Tik čia elektrodai pakeisti</w:t>
                    <w:br/>
                  </w:r>
                  <w:r>
                    <w:rPr>
                      <w:rFonts w:ascii="Sans Serif" w:hAnsi="Sans Serif" w:eastAsia="Sans Serif"/>
                      <w:sz val="8"/>
                    </w:rPr>
                    <w:t>besisukančiais ritinėliais (žr. 3 pav.).</w:t>
                  </w:r>
                </w:p>
              </w:txbxContent>
            </v:textbox>
            <w10:wrap type="none" anchorx="page" anchory="page"/>
          </v:shape>
        </w:pict>
      </w:r>
    </w:p>
    <w:p>
      <w:pPr>
        <w:spacing w:before="0" w:after="0"/>
      </w:pPr>
      <w:r>
        <w:pict>
          <v:shape style="position:absolute;left:476.48pt;top:96.65pt;width:292.56pt;height:51.8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Kontaktinis sandūrinis suvirinimas</w:t>
                    <w:br/>
                  </w:r>
                  <w:r>
                    <w:rPr>
                      <w:rFonts w:ascii="Sans Serif" w:hAnsi="Sans Serif" w:eastAsia="Sans Serif"/>
                      <w:sz val="8"/>
                    </w:rPr>
                    <w:t> </w:t>
                    <w:br/>
                  </w:r>
                  <w:r>
                    <w:rPr>
                      <w:rFonts w:ascii="Sans Serif" w:hAnsi="Sans Serif" w:eastAsia="Sans Serif"/>
                      <w:sz val="8"/>
                    </w:rPr>
                    <w:t>Kontaktinis sandūrinis suvirinimas skirstomas į varžinį suvirinimą ir suvirinimą aplydant. Esant sandūriniam suvirinimui, pirmiausia suvirinamos detalės suspaudžiamos, o po to įjungiama suvirinimo srovė.</w:t>
                  </w:r>
                </w:p>
              </w:txbxContent>
            </v:textbox>
            <w10:wrap type="none" anchorx="page" anchory="page"/>
          </v:shape>
        </w:pict>
      </w:r>
    </w:p>
    <w:p>
      <w:pPr>
        <w:spacing w:before="0" w:after="0"/>
      </w:pPr>
      <w:r>
        <w:pict>
          <v:shape style="position:absolute;left:470.00pt;top:263.74pt;width:298.00pt;height:19.2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pav. Kontaktinio sandūrinio suvirinimo schema. 1 – suvirinamos detalės; 2 – nejudantis griebtuvas; 3 – slankiojantis griebtuvas</w:t>
                  </w:r>
                </w:p>
              </w:txbxContent>
            </v:textbox>
            <w10:wrap type="none" anchorx="page" anchory="page"/>
          </v:shape>
        </w:pict>
      </w:r>
    </w:p>
    <w:p>
      <w:pPr>
        <w:spacing w:before="0" w:after="0"/>
      </w:pPr>
      <w:r>
        <w:pict>
          <v:shape style="position:absolute;left:471.41pt;top:284.58pt;width:294.46pt;height:156.5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Esant suvirinimui aplydant, pirmiausiai įjungiama įtampa, po to suvirinamos detalės suspaudžiamos, todėl labai svarbu suderinti detalių suartinimo greitį su aplydymo greičiu. Esant per mažam detalių suartėjimo greičiui, procesas nestabilus, periodiškai nutrūksta lydimasis, o detales galuose metalas suspėja susikristalizuoti. Per greitai suartinant detales, įvyksta trumpasis jungimas ir detalių galų lydymosi procesas sustoja.</w:t>
                    <w:br/>
                  </w:r>
                  <w:r>
                    <w:rPr>
                      <w:rFonts w:ascii="Sans Serif" w:hAnsi="Sans Serif" w:eastAsia="Sans Serif"/>
                      <w:sz val="8"/>
                    </w:rPr>
                    <w:t> </w:t>
                    <w:br/>
                  </w:r>
                  <w:r>
                    <w:rPr>
                      <w:rFonts w:ascii="Sans Serif" w:hAnsi="Sans Serif" w:eastAsia="Sans Serif"/>
                      <w:sz val="8"/>
                    </w:rPr>
                    <w:t>Suvirinimo proceso pradžioje aplydymo greitis mažas. Kaistant detalėms, aplydymo greitis didėja. Mažaanglio plieno vidutinis aplydymo greitis: pradinis – 0.8 ÷ 1.5 mm/s, galinis – 4 ÷ 5 mm/s.</w:t>
                    <w:br/>
                  </w:r>
                  <w:r>
                    <w:rPr>
                      <w:rFonts w:ascii="Sans Serif" w:hAnsi="Sans Serif" w:eastAsia="Sans Serif"/>
                      <w:sz val="8"/>
                    </w:rPr>
                    <w:t> </w:t>
                    <w:br/>
                  </w:r>
                  <w:r>
                    <w:rPr>
                      <w:rFonts w:ascii="Sans Serif" w:hAnsi="Sans Serif" w:eastAsia="Sans Serif"/>
                      <w:sz val="8"/>
                    </w:rPr>
                    <w:t>Didėjant aplydymo greičiui iki nustatyto dydžio, sąsmaukėlių kiekis auga, kontakto plotas didėja, išsilydęs metalas vienodžiau pasiskirsto. Aplydoma paprastai esant kiek galima mažesnei įtampai, prie kurios vienodžiau išyla metalas, sumažėja aplydimo užlaida, padidėja proceso šiluminio naudingumo koeficientas. Mažinant įtampą, didėja kontaktų-sąsmaukų egzistavimo laikas tarp detalių galų ir daugiau šilumos perduodama į detalių gilumą. Iki 50 mm² skerspločio detalėms ši įtampa imama apie 4V. Detalių kaitinimas atliekamas periodiškai suspaudžiant ir atleidžiant jas. Pašildymo temperatūra siekia 800-1200 °C. Detalių užlaida 2-10 mm. Susodinimo procesas charakterizuojamas dydžiu $\Delta_{sus}$, susodinimo greičiu $v_{sus}$, ir susodinimo slėgiu $P_{sus}$. Suvirinant mažaanglius plienus aplydant su pašildymu , susodinimo slėgis 0,4-0,6 MPa, susodinimo greitis – 60-80 mm/s. $\Delta_{sus}$ nustatomas pagal pašalinamo iš sandūros perkaitinto metalo ir oksidų kiekį. Suvirinant strypus, nustatytasis ilgis $l_0$ nustatomas iš formulės:</w:t>
                  </w:r>
                </w:p>
              </w:txbxContent>
            </v:textbox>
            <w10:wrap type="none" anchorx="page" anchory="page"/>
          </v:shape>
        </w:pict>
      </w:r>
    </w:p>
    <w:p>
      <w:pPr>
        <w:spacing w:before="0" w:after="0"/>
      </w:pPr>
      <w:r>
        <w:pict>
          <v:shape style="position:absolute;left:488.45pt;top:475.53pt;width:86.11pt;height:11.8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čia: d – strypo skersmuo, mm.</w:t>
                  </w:r>
                </w:p>
              </w:txbxContent>
            </v:textbox>
            <w10:wrap type="none" anchorx="page" anchory="page"/>
          </v:shape>
        </w:pict>
      </w:r>
    </w:p>
    <w:p>
      <w:pPr>
        <w:spacing w:before="0" w:after="0"/>
      </w:pPr>
      <w:r>
        <w:pict>
          <v:shape style="position:absolute;left:470.38pt;top:495.30pt;width:294.74pt;height:37.7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Nesilaikant suvirinimo režimų, atsiranda įvairių defektų. Neįvirinimas gaunamas, jeigu iš</w:t>
                    <w:br/>
                  </w:r>
                  <w:r>
                    <w:rPr>
                      <w:rFonts w:ascii="Sans Serif" w:hAnsi="Sans Serif" w:eastAsia="Sans Serif"/>
                      <w:sz val="8"/>
                    </w:rPr>
                    <w:t>sandūros neišspaudžiami oksidai. Esant nepakankanam susodinimui, gilių kraterių vietoje pasilieka</w:t>
                    <w:br/>
                  </w:r>
                  <w:r>
                    <w:rPr>
                      <w:rFonts w:ascii="Sans Serif" w:hAnsi="Sans Serif" w:eastAsia="Sans Serif"/>
                      <w:sz val="8"/>
                    </w:rPr>
                    <w:t>neišspaustas lietasis metalas, dėl to, kristalizuojantis metalui, susidaro susodinimo purumas.</w:t>
                    <w:br/>
                  </w:r>
                  <w:r>
                    <w:rPr>
                      <w:rFonts w:ascii="Sans Serif" w:hAnsi="Sans Serif" w:eastAsia="Sans Serif"/>
                      <w:sz val="8"/>
                    </w:rPr>
                    <w:t>Perkaitinus metalą, žymiai padidėja grūdeliai ir sumažėja sujungimo plastiškumas.</w:t>
                  </w:r>
                </w:p>
              </w:txbxContent>
            </v:textbox>
            <w10:wrap type="none" anchorx="page" anchory="page"/>
          </v:shape>
        </w:pict>
      </w:r>
    </w:p>
    <w:p>
      <w:pPr>
        <w:spacing w:before="0" w:after="0"/>
      </w:pPr>
      <w:r>
        <w:pict>
          <v:shape style="position:absolute;left:185.39pt;top:387.32pt;width:111.33pt;height:13.0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pav. Kontaktinis siūlinis suvirinimas</w:t>
                  </w:r>
                </w:p>
              </w:txbxContent>
            </v:textbox>
            <w10:wrap type="none" anchorx="page" anchory="page"/>
          </v:shape>
        </w:pict>
      </w:r>
    </w:p>
    <w:p>
      <w:pPr>
        <w:sectPr>
          <w:pgSz w:w="16834" w:h="11902"/>
          <w:pgMar w:top="0" w:right="0" w:bottom="0" w:left="0" w:header="0" w:footer="0" w:gutter="0"/>
          <w:cols w:space="720"/>
          <w:docGrid w:linePitch="360"/>
        </w:sectPr>
      </w:pPr>
    </w:p>
    <w:p/>
    <w:p>
      <w:pPr>
        <w:spacing w:before="0" w:after="0"/>
      </w:pPr>
      <w:r>
        <w:pict>
          <v:shape style="position:absolute;left:83.23pt;top:89.85pt;width:290.62pt;height:35.0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Aplydymo srovės tankis j suvirinamose detalėse priklauso nuo šiluminių-fizinių, mechaninių ir</w:t>
                    <w:br/>
                  </w:r>
                  <w:r>
                    <w:rPr>
                      <w:rFonts w:ascii="Sans Serif" w:hAnsi="Sans Serif" w:eastAsia="Sans Serif"/>
                      <w:sz val="8"/>
                    </w:rPr>
                    <w:t>metalurginių metalų savybių. Suvirinant mažaanglius plienus praktiškai imama: j = 8 ÷ 30 A/mm²,</w:t>
                    <w:br/>
                  </w:r>
                  <w:r>
                    <w:rPr>
                      <w:rFonts w:ascii="Sans Serif" w:hAnsi="Sans Serif" w:eastAsia="Sans Serif"/>
                      <w:sz val="8"/>
                    </w:rPr>
                    <w:t>suvirinant aplydymu ir pakaitinimu anglinius plienus su greitapjūviais, esant aplydymo laikui t$_{suv}$ =</w:t>
                    <w:br/>
                  </w:r>
                  <w:r>
                    <w:rPr>
                      <w:rFonts w:ascii="Sans Serif" w:hAnsi="Sans Serif" w:eastAsia="Sans Serif"/>
                      <w:sz val="8"/>
                    </w:rPr>
                    <w:t>0,08 ÷ 0,2 s, pauzės trukmė t$_p$ = 0,12 ÷ 0,13 s .</w:t>
                  </w:r>
                </w:p>
              </w:txbxContent>
            </v:textbox>
            <w10:wrap type="none" anchorx="page" anchory="page"/>
          </v:shape>
        </w:pict>
      </w:r>
    </w:p>
    <w:p>
      <w:pPr>
        <w:spacing w:before="0" w:after="0"/>
      </w:pPr>
      <w:r>
        <w:pict>
          <v:shape style="position:absolute;left:472.99pt;top:99.54pt;width:295.45pt;height:38.0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Grafiniai kontaktinio suvirinimo įrenginių simboliai</w:t>
                    <w:br/>
                  </w:r>
                  <w:r>
                    <w:rPr>
                      <w:rFonts w:ascii="Sans Serif" w:hAnsi="Sans Serif" w:eastAsia="Sans Serif"/>
                      <w:sz val="8"/>
                    </w:rPr>
                    <w:t> </w:t>
                    <w:br/>
                  </w:r>
                  <w:r>
                    <w:rPr>
                      <w:rFonts w:ascii="Sans Serif" w:hAnsi="Sans Serif" w:eastAsia="Sans Serif"/>
                      <w:sz val="8"/>
                    </w:rPr>
                    <w:t>Grafinius kontaktinio suvirinimo simbolius reglamentuoja tarptautinis standartas ISO</w:t>
                    <w:br/>
                  </w:r>
                  <w:r>
                    <w:rPr>
                      <w:rFonts w:ascii="Sans Serif" w:hAnsi="Sans Serif" w:eastAsia="Sans Serif"/>
                      <w:sz val="8"/>
                    </w:rPr>
                    <w:t>7286:1986</w:t>
                  </w:r>
                </w:p>
              </w:txbxContent>
            </v:textbox>
            <w10:wrap type="none" anchorx="page" anchory="page"/>
          </v:shape>
        </w:pict>
      </w:r>
    </w:p>
    <w:p>
      <w:pPr>
        <w:spacing w:before="0" w:after="0"/>
      </w:pPr>
      <w:r>
        <w:pict>
          <v:shape style="position:absolute;left:502.67pt;top:141.53pt;width:175.90pt;height:11.9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lentelė. Grafiniai kontaktinio suvirinimo įrenginių simboliai</w:t>
                  </w:r>
                </w:p>
              </w:txbxContent>
            </v:textbox>
            <w10:wrap type="none" anchorx="page" anchory="page"/>
          </v:shape>
        </w:pict>
      </w:r>
    </w:p>
    <w:p>
      <w:pPr>
        <w:sectPr>
          <w:pgSz w:w="16834" w:h="11902"/>
          <w:pgMar w:top="0" w:right="0" w:bottom="0" w:left="0" w:header="0" w:footer="0" w:gutter="0"/>
          <w:cols w:space="720"/>
          <w:docGrid w:linePitch="360"/>
        </w:sectPr>
      </w:pPr>
    </w:p>
    <w:p/>
    <w:p>
      <w:pPr>
        <w:sectPr>
          <w:pgSz w:w="16834" w:h="11902"/>
          <w:pgMar w:top="0" w:right="0" w:bottom="0" w:left="0" w:header="0" w:footer="0" w:gutter="0"/>
          <w:cols w:space="720"/>
          <w:docGrid w:linePitch="360"/>
        </w:sectPr>
      </w:pPr>
    </w:p>
    <w:p/>
    <w:p>
      <w:pPr>
        <w:spacing w:before="0" w:after="0"/>
      </w:pPr>
      <w:r>
        <w:pict>
          <v:shape style="position:absolute;left:507.97pt;top:448.66pt;width:96.10pt;height:64.6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Paaiškinimai:</w:t>
                    <w:br/>
                  </w:r>
                  <w:r>
                    <w:rPr>
                      <w:rFonts w:ascii="Sans Serif" w:hAnsi="Sans Serif" w:eastAsia="Sans Serif"/>
                      <w:sz val="8"/>
                    </w:rPr>
                    <w:t>Siūlinis ištisinis suvirinimas</w:t>
                    <w:br/>
                  </w:r>
                  <w:r>
                    <w:rPr>
                      <w:rFonts w:ascii="Sans Serif" w:hAnsi="Sans Serif" w:eastAsia="Sans Serif"/>
                      <w:sz val="8"/>
                    </w:rPr>
                    <w:t>Suspaudimo laikas 20 periodų</w:t>
                    <w:br/>
                  </w:r>
                  <w:r>
                    <w:rPr>
                      <w:rFonts w:ascii="Sans Serif" w:hAnsi="Sans Serif" w:eastAsia="Sans Serif"/>
                      <w:sz val="8"/>
                    </w:rPr>
                    <w:t>Suvirinimo laikas 05 periodai</w:t>
                    <w:br/>
                  </w:r>
                  <w:r>
                    <w:rPr>
                      <w:rFonts w:ascii="Sans Serif" w:hAnsi="Sans Serif" w:eastAsia="Sans Serif"/>
                      <w:sz val="8"/>
                    </w:rPr>
                    <w:t>Išlaikymo trukmė 10 periodų</w:t>
                    <w:br/>
                  </w:r>
                  <w:r>
                    <w:rPr>
                      <w:rFonts w:ascii="Sans Serif" w:hAnsi="Sans Serif" w:eastAsia="Sans Serif"/>
                      <w:sz val="8"/>
                    </w:rPr>
                    <w:t>Išjungimo laikas 00 periodų</w:t>
                    <w:br/>
                  </w:r>
                  <w:r>
                    <w:rPr>
                      <w:rFonts w:ascii="Sans Serif" w:hAnsi="Sans Serif" w:eastAsia="Sans Serif"/>
                      <w:sz val="8"/>
                    </w:rPr>
                    <w:t>Aušinimo trukmė 02 periodai</w:t>
                    <w:br/>
                  </w:r>
                  <w:r>
                    <w:rPr>
                      <w:rFonts w:ascii="Sans Serif" w:hAnsi="Sans Serif" w:eastAsia="Sans Serif"/>
                      <w:sz val="8"/>
                    </w:rPr>
                    <w:t>Terminis impulsas 1</w:t>
                  </w:r>
                </w:p>
              </w:txbxContent>
            </v:textbox>
            <w10:wrap type="none" anchorx="page" anchory="page"/>
          </v:shape>
        </w:pict>
      </w:r>
    </w:p>
    <w:p>
      <w:pPr>
        <w:spacing w:before="0" w:after="0"/>
      </w:pPr>
      <w:r>
        <w:pict>
          <v:shape style="position:absolute;left:513.12pt;top:334.27pt;width:147.98pt;height:11.0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Simbolių vaizdavimo pavyzdys valdymo panelėje</w:t>
                  </w:r>
                </w:p>
              </w:txbxContent>
            </v:textbox>
            <w10:wrap type="none" anchorx="page" anchory="page"/>
          </v:shape>
        </w:pict>
      </w:r>
    </w:p>
    <w:p>
      <w:pPr>
        <w:sectPr>
          <w:pgSz w:w="16834" w:h="11902"/>
          <w:pgMar w:top="0" w:right="0" w:bottom="0" w:left="0" w:header="0" w:footer="0" w:gutter="0"/>
          <w:cols w:space="720"/>
          <w:docGrid w:linePitch="360"/>
        </w:sectPr>
      </w:pPr>
    </w:p>
    <w:p/>
    <w:p>
      <w:pPr>
        <w:spacing w:before="0" w:after="0"/>
      </w:pPr>
      <w:r>
        <w:pict>
          <v:shape style="position:absolute;left:473.19pt;top:105.92pt;width:290.12pt;height:59.9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Literatūros sąrašas</w:t>
                    <w:br/>
                  </w:r>
                  <w:r>
                    <w:rPr>
                      <w:rFonts w:ascii="Sans Serif" w:hAnsi="Sans Serif" w:eastAsia="Sans Serif"/>
                      <w:sz val="8"/>
                    </w:rPr>
                    <w:t> </w:t>
                    <w:br/>
                  </w:r>
                  <w:r>
                    <w:rPr>
                      <w:rFonts w:ascii="Sans Serif" w:hAnsi="Sans Serif" w:eastAsia="Sans Serif"/>
                      <w:sz val="8"/>
                    </w:rPr>
                    <w:t>1. I. Gedzevičius. Suvirinimo technologijos laboratorinių darbų metodikos nurodymai.</w:t>
                    <w:br/>
                  </w:r>
                  <w:r>
                    <w:rPr>
                      <w:rFonts w:ascii="Sans Serif" w:hAnsi="Sans Serif" w:eastAsia="Sans Serif"/>
                      <w:sz val="8"/>
                    </w:rPr>
                    <w:t>2. Lietuvos standartas. Grafiniai kontaktinio suvirinimo įrenginių symboliai LST EN 27286</w:t>
                  </w:r>
                </w:p>
              </w:txbxContent>
            </v:textbox>
            <w10:wrap type="none" anchorx="page" anchory="page"/>
          </v:shape>
        </w:pict>
      </w:r>
    </w:p>
    <w:sectPr w:rsidR="00FC693F" w:rsidRPr="0006063C" w:rsidSect="00034616">
      <w:pgSz w:w="16834" w:h="11902"/>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ans Serif" w:hAnsi="Sans Serif"/>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